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677"/>
      </w:tblGrid>
      <w:tr w:rsidR="00EB2E88" w:rsidRPr="00C161D9" w:rsidTr="000B331A">
        <w:tc>
          <w:tcPr>
            <w:tcW w:w="9634" w:type="dxa"/>
            <w:gridSpan w:val="3"/>
            <w:shd w:val="clear" w:color="auto" w:fill="C00000"/>
          </w:tcPr>
          <w:p w:rsidR="00EB2E88" w:rsidRPr="001E1A60" w:rsidRDefault="00EB2E88" w:rsidP="000B331A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52"/>
                <w:szCs w:val="52"/>
              </w:rPr>
            </w:pPr>
            <w:bookmarkStart w:id="0" w:name="_GoBack"/>
            <w:bookmarkEnd w:id="0"/>
            <w:r w:rsidRPr="001E1A60">
              <w:rPr>
                <w:rFonts w:asciiTheme="majorBidi" w:hAnsiTheme="majorBidi" w:cstheme="majorBidi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69C45168" wp14:editId="2B73FE3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914400" cy="1094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150" y="21061"/>
                      <wp:lineTo x="21150" y="0"/>
                      <wp:lineTo x="0" y="0"/>
                    </wp:wrapPolygon>
                  </wp:wrapTight>
                  <wp:docPr id="1" name="รูปภาพ 1" descr="C:\Documents and Settings\SKZ\Local Settings\Temporary Internet Files\Content.IE5\ZD7S1R8X\430916_456439004417410_205351528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KZ\Local Settings\Temporary Internet Files\Content.IE5\ZD7S1R8X\430916_456439004417410_205351528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1A60">
              <w:rPr>
                <w:rFonts w:asciiTheme="majorBidi" w:hAnsiTheme="majorBidi" w:cstheme="majorBidi"/>
                <w:b/>
                <w:bCs/>
                <w:color w:val="00B050"/>
                <w:sz w:val="52"/>
                <w:szCs w:val="52"/>
                <w:cs/>
              </w:rPr>
              <w:t>ประกาศ</w:t>
            </w:r>
          </w:p>
          <w:p w:rsidR="00EB2E88" w:rsidRPr="00EB2E88" w:rsidRDefault="00EB2E88" w:rsidP="000B331A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EB2E88">
              <w:rPr>
                <w:rFonts w:asciiTheme="majorBidi" w:hAnsiTheme="majorBidi" w:cstheme="majorBidi"/>
                <w:sz w:val="40"/>
                <w:szCs w:val="40"/>
                <w:cs/>
              </w:rPr>
              <w:t>องค์การบริหารส่วนตำบลวังหิน</w:t>
            </w:r>
          </w:p>
          <w:p w:rsidR="00EB2E88" w:rsidRPr="00EB2E88" w:rsidRDefault="00EB2E88" w:rsidP="000B3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2E88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 การประชาสัมพันธ์ภาษีที่ดินและสิ่งปลูกสร้าง และภาษีป้ายประจำปี พ.ศ. 2564</w:t>
            </w:r>
          </w:p>
        </w:tc>
      </w:tr>
      <w:tr w:rsidR="00EB2E88" w:rsidRPr="00C161D9" w:rsidTr="000B331A">
        <w:tc>
          <w:tcPr>
            <w:tcW w:w="4531" w:type="dxa"/>
            <w:shd w:val="clear" w:color="auto" w:fill="FFD966" w:themeFill="accent4" w:themeFillTint="99"/>
          </w:tcPr>
          <w:p w:rsidR="00EB2E88" w:rsidRPr="001E1A60" w:rsidRDefault="00EB2E88" w:rsidP="000B331A">
            <w:pPr>
              <w:jc w:val="both"/>
              <w:rPr>
                <w:rFonts w:asciiTheme="majorBidi" w:hAnsiTheme="majorBidi" w:cstheme="majorBidi"/>
                <w:noProof/>
                <w:color w:val="00B050"/>
                <w:sz w:val="40"/>
                <w:szCs w:val="40"/>
              </w:rPr>
            </w:pPr>
            <w:r w:rsidRPr="001E1A60">
              <w:rPr>
                <w:rFonts w:asciiTheme="majorBidi" w:hAnsiTheme="majorBidi" w:cstheme="majorBidi"/>
                <w:noProof/>
                <w:color w:val="00B050"/>
                <w:sz w:val="40"/>
                <w:szCs w:val="40"/>
                <w:cs/>
              </w:rPr>
              <w:t>ภาษีที่ดินและสิ่งปลูกสร้าง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ผู้มีหน้าที่ชำระภาษี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เจ้าของที่ดิน/เจ้าของสิ่งปลูกสร้าง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                                เจ้าของห้องชุด/ผู้ครอบครอง                         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                                ทรัพย์สินหรือที่ทำ</w:t>
            </w:r>
            <w:r w:rsidRPr="00C161D9">
              <w:rPr>
                <w:rFonts w:asciiTheme="majorBidi" w:hAnsiTheme="majorBidi" w:cstheme="majorBidi"/>
                <w:noProof/>
                <w:sz w:val="28"/>
                <w:cs/>
              </w:rPr>
              <w:t>ประโยชน์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ใน 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  <w:cs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                                ทรัพย์สินของรัฐ (ที่ดิน/สิ่งปลูกสร้าง</w:t>
            </w:r>
            <w:r w:rsidR="00440663">
              <w:rPr>
                <w:rFonts w:asciiTheme="majorBidi" w:hAnsiTheme="majorBidi" w:cstheme="majorBidi" w:hint="cs"/>
                <w:noProof/>
                <w:cs/>
              </w:rPr>
              <w:t>)</w:t>
            </w:r>
          </w:p>
        </w:tc>
        <w:tc>
          <w:tcPr>
            <w:tcW w:w="5103" w:type="dxa"/>
            <w:gridSpan w:val="2"/>
            <w:shd w:val="clear" w:color="auto" w:fill="BF8F00" w:themeFill="accent4" w:themeFillShade="BF"/>
          </w:tcPr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ตรวจสอบรายการที่ดินและสิ่งปลูกสร้าง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พฤศจิกายน  2564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ประกาศราคาประเมินทุนทรัพย์          </w:t>
            </w:r>
            <w:r w:rsidRPr="00C161D9">
              <w:rPr>
                <w:rFonts w:asciiTheme="majorBidi" w:hAnsiTheme="majorBidi" w:cstheme="majorBidi"/>
                <w:noProof/>
              </w:rPr>
              <w:t>:</w:t>
            </w:r>
            <w:r w:rsidR="00407BBA">
              <w:rPr>
                <w:rFonts w:asciiTheme="majorBidi" w:hAnsiTheme="majorBidi" w:cstheme="majorBidi"/>
                <w:noProof/>
              </w:rPr>
              <w:t xml:space="preserve"> 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มกราคม 2564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แจ้งการประเมินภาษี                           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มกราคม-กุม</w:t>
            </w:r>
            <w:r w:rsidR="00407BBA">
              <w:rPr>
                <w:rFonts w:asciiTheme="majorBidi" w:hAnsiTheme="majorBidi" w:cstheme="majorBidi" w:hint="cs"/>
                <w:noProof/>
                <w:cs/>
              </w:rPr>
              <w:t>ภาพัน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ธ์ 2564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ชำระภาษี                                          </w:t>
            </w:r>
            <w:r w:rsidR="00407BBA">
              <w:rPr>
                <w:rFonts w:asciiTheme="majorBidi" w:hAnsiTheme="majorBidi" w:cstheme="majorBidi" w:hint="cs"/>
                <w:noProof/>
                <w:cs/>
              </w:rPr>
              <w:t xml:space="preserve">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 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ภายใน เม</w:t>
            </w:r>
            <w:r w:rsidR="00407BBA">
              <w:rPr>
                <w:rFonts w:asciiTheme="majorBidi" w:hAnsiTheme="majorBidi" w:cstheme="majorBidi" w:hint="cs"/>
                <w:noProof/>
                <w:cs/>
              </w:rPr>
              <w:t>ษ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ายน 2564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ผ่อนชำระภาษี                                    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>เมษายน – มิถุนายน 2564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  <w:cs/>
              </w:rPr>
            </w:pP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ฐานภาษี </w:t>
            </w:r>
            <w:r w:rsidRPr="00C161D9">
              <w:rPr>
                <w:rFonts w:asciiTheme="majorBidi" w:hAnsiTheme="majorBidi" w:cstheme="majorBidi"/>
                <w:noProof/>
              </w:rPr>
              <w:t xml:space="preserve">: </w:t>
            </w:r>
            <w:r w:rsidRPr="00C161D9">
              <w:rPr>
                <w:rFonts w:asciiTheme="majorBidi" w:hAnsiTheme="majorBidi" w:cstheme="majorBidi"/>
                <w:noProof/>
                <w:cs/>
              </w:rPr>
              <w:t xml:space="preserve"> มูลต่าของที่ดินลิ่งปลูกสร้าง (ราคาประเมินทุนทรัย์</w:t>
            </w:r>
            <w:r w:rsidR="00440663">
              <w:rPr>
                <w:rFonts w:asciiTheme="majorBidi" w:hAnsiTheme="majorBidi" w:cstheme="majorBidi" w:hint="cs"/>
                <w:noProof/>
                <w:cs/>
              </w:rPr>
              <w:t>)</w:t>
            </w:r>
          </w:p>
          <w:p w:rsidR="00EB2E88" w:rsidRPr="00C161D9" w:rsidRDefault="00EB2E88" w:rsidP="000B331A">
            <w:pPr>
              <w:rPr>
                <w:rFonts w:asciiTheme="majorBidi" w:hAnsiTheme="majorBidi" w:cstheme="majorBidi"/>
                <w:noProof/>
                <w:cs/>
              </w:rPr>
            </w:pPr>
          </w:p>
        </w:tc>
      </w:tr>
      <w:tr w:rsidR="00EB2E88" w:rsidRPr="001E1A60" w:rsidTr="000B331A">
        <w:tc>
          <w:tcPr>
            <w:tcW w:w="4957" w:type="dxa"/>
            <w:gridSpan w:val="2"/>
            <w:shd w:val="clear" w:color="auto" w:fill="538135" w:themeFill="accent6" w:themeFillShade="BF"/>
          </w:tcPr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เบี้ยปรับ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: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%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ของค่าภาษี มาชำระก่อนออกหนังสือทวงถาม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20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%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ของค่าภาษี มาชำระภายในเวลาที่กำหนดใน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หนังสือทวงถาม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%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ของค่าภาษี มาชำระก่อนออกหนังสือทวงถาม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40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%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ของค่าภาษี มาชำระเกินวันที่กำหนดไว้ใน</w:t>
            </w:r>
            <w:r w:rsidRPr="001E1A60">
              <w:rPr>
                <w:rFonts w:asciiTheme="majorBidi" w:hAnsiTheme="majorBidi" w:cstheme="majorBidi" w:hint="cs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 w:hint="cs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หนังสือทวงถาม 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เงินเพิ่ม   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: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%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ของค่าภาษี ต่อเดือนที่ค้างชำระ</w:t>
            </w:r>
          </w:p>
          <w:p w:rsidR="00EB2E88" w:rsidRPr="001E1A60" w:rsidRDefault="00EB2E88" w:rsidP="000B331A">
            <w:pPr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บทลงโทษ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: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เบี้ยปรับ, เงินเพิ่ม อายัดทรัพย์ขาดทอดตลาด ,</w:t>
            </w:r>
          </w:p>
          <w:p w:rsidR="00EB2E88" w:rsidRPr="001E1A60" w:rsidRDefault="00EB2E88" w:rsidP="000B331A">
            <w:pPr>
              <w:jc w:val="both"/>
              <w:rPr>
                <w:rFonts w:asciiTheme="majorBidi" w:hAnsiTheme="majorBidi" w:cstheme="majorBidi"/>
                <w:b/>
                <w:noProof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</w:t>
            </w:r>
            <w:r w:rsidRPr="001E1A60">
              <w:rPr>
                <w:rFonts w:asciiTheme="majorBidi" w:hAnsiTheme="majorBidi" w:cstheme="majorBidi" w:hint="cs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1E1A60">
              <w:rPr>
                <w:rFonts w:asciiTheme="majorBidi" w:hAnsiTheme="majorBidi" w:cstheme="majorBidi"/>
                <w:b/>
                <w:color w:val="FF0000"/>
                <w:sz w:val="28"/>
                <w:cs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ระงับทำนิติกรรมที่ดิน</w:t>
            </w:r>
          </w:p>
        </w:tc>
        <w:tc>
          <w:tcPr>
            <w:tcW w:w="4677" w:type="dxa"/>
          </w:tcPr>
          <w:tbl>
            <w:tblPr>
              <w:tblStyle w:val="a3"/>
              <w:tblpPr w:leftFromText="180" w:rightFromText="180" w:vertAnchor="text" w:horzAnchor="margin" w:tblpX="132" w:tblpY="-156"/>
              <w:tblOverlap w:val="never"/>
              <w:tblW w:w="4738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738"/>
            </w:tblGrid>
            <w:tr w:rsidR="00EB2E88" w:rsidRPr="001E1A60" w:rsidTr="000B331A">
              <w:trPr>
                <w:trHeight w:val="3672"/>
              </w:trPr>
              <w:tc>
                <w:tcPr>
                  <w:tcW w:w="4738" w:type="dxa"/>
                  <w:shd w:val="clear" w:color="auto" w:fill="00B0F0"/>
                </w:tcPr>
                <w:p w:rsidR="00EB2E88" w:rsidRPr="001E1A60" w:rsidRDefault="00EB2E88" w:rsidP="000B331A">
                  <w:pPr>
                    <w:jc w:val="center"/>
                    <w:rPr>
                      <w:bCs/>
                      <w:color w:val="FF0000"/>
                      <w:sz w:val="52"/>
                      <w:szCs w:val="52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E1A60">
                    <w:rPr>
                      <w:rFonts w:hint="cs"/>
                      <w:bCs/>
                      <w:color w:val="FF0000"/>
                      <w:sz w:val="52"/>
                      <w:szCs w:val="52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ภาษีป้าย</w:t>
                  </w:r>
                </w:p>
                <w:p w:rsidR="00EB2E88" w:rsidRPr="001E1A60" w:rsidRDefault="00EB2E88" w:rsidP="000B331A">
                  <w:pPr>
                    <w:jc w:val="center"/>
                    <w:rPr>
                      <w:bCs/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EB2E88" w:rsidRPr="001E1A60" w:rsidRDefault="00EB2E88" w:rsidP="000B331A">
                  <w:pPr>
                    <w:rPr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ยื่นแบบ </w:t>
                  </w:r>
                  <w:r w:rsidRPr="001E1A60">
                    <w:rPr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: 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มกราคม </w:t>
                  </w:r>
                  <w:r w:rsidRPr="001E1A60">
                    <w:rPr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–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มีนาคม  2564</w:t>
                  </w:r>
                </w:p>
                <w:p w:rsidR="00EB2E88" w:rsidRPr="001E1A60" w:rsidRDefault="00EB2E88" w:rsidP="000B331A">
                  <w:pPr>
                    <w:rPr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ชำระภาษี </w:t>
                  </w:r>
                  <w:r w:rsidRPr="001E1A60">
                    <w:rPr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: 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ภายใน 15 วัน นับแต่วันที่ได้รับแจ้งประเมิน</w:t>
                  </w:r>
                </w:p>
                <w:p w:rsidR="00EB2E88" w:rsidRPr="001E1A60" w:rsidRDefault="00EB2E88" w:rsidP="00A10BAC">
                  <w:pPr>
                    <w:rPr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เงินเพิ่ม </w:t>
                  </w:r>
                  <w:r w:rsidRPr="001E1A60">
                    <w:rPr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: 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ไม่ชำระภาษีภายใน 15</w:t>
                  </w:r>
                  <w:r w:rsidR="00A10BAC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วัน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นับแต่วันที่ได้รับแจ้งประเมินคิดเงินเพิ่ม  2  </w:t>
                  </w:r>
                  <w:r w:rsidRPr="001E1A60">
                    <w:rPr>
                      <w:color w:val="FF0000"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% </w:t>
                  </w:r>
                  <w:r w:rsidRPr="001E1A60">
                    <w:rPr>
                      <w:rFonts w:hint="cs"/>
                      <w:color w:val="FF0000"/>
                      <w:cs/>
                      <w14:glow w14:rad="101600">
                        <w14:schemeClr w14:val="accent4">
                          <w14:alpha w14:val="60000"/>
                          <w14:satMod w14:val="175000"/>
                        </w14:schemeClr>
                      </w14:glow>
                      <w14:shadow w14:blurRad="38100" w14:dist="25400" w14:dir="5400000" w14:sx="100000" w14:sy="100000" w14:kx="0" w14:ky="0" w14:algn="ctr">
                        <w14:srgbClr w14:val="6E747A">
                          <w14:alpha w14:val="57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ของค่าภาษีต่อเดือน</w:t>
                  </w:r>
                </w:p>
              </w:tc>
            </w:tr>
          </w:tbl>
          <w:p w:rsidR="00EB2E88" w:rsidRPr="001E1A60" w:rsidRDefault="00EB2E88" w:rsidP="000B331A">
            <w:pPr>
              <w:rPr>
                <w:rFonts w:asciiTheme="majorBidi" w:hAnsiTheme="majorBidi" w:cstheme="majorBidi"/>
                <w:noProof/>
                <w:color w:val="FF0000"/>
                <w:cs/>
              </w:rPr>
            </w:pPr>
          </w:p>
        </w:tc>
      </w:tr>
      <w:tr w:rsidR="00EB2E88" w:rsidRPr="00C161D9" w:rsidTr="00103240">
        <w:trPr>
          <w:trHeight w:val="870"/>
        </w:trPr>
        <w:tc>
          <w:tcPr>
            <w:tcW w:w="9634" w:type="dxa"/>
            <w:gridSpan w:val="3"/>
            <w:shd w:val="clear" w:color="auto" w:fill="FFD966" w:themeFill="accent4" w:themeFillTint="99"/>
          </w:tcPr>
          <w:p w:rsidR="00EB2E88" w:rsidRPr="00EB2E88" w:rsidRDefault="00EB2E88" w:rsidP="000B331A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EB2E88">
              <w:rPr>
                <w:rFonts w:asciiTheme="majorBidi" w:hAnsiTheme="majorBidi" w:cstheme="majorBidi"/>
                <w:sz w:val="36"/>
                <w:szCs w:val="36"/>
                <w:cs/>
              </w:rPr>
              <w:t>ติดต่อขอรายละเอียดได้ที่ งานจัดเก็บรายได้ กองคลัง  องค์การบริหารส่วนตำบลวังหิน</w:t>
            </w:r>
            <w:r w:rsidRPr="00EB2E88">
              <w:rPr>
                <w:rFonts w:asciiTheme="majorBidi" w:hAnsiTheme="majorBidi" w:cstheme="majorBidi"/>
                <w:sz w:val="36"/>
                <w:szCs w:val="36"/>
              </w:rPr>
              <w:t xml:space="preserve">  0814775296</w:t>
            </w:r>
          </w:p>
        </w:tc>
      </w:tr>
    </w:tbl>
    <w:p w:rsidR="00FD699F" w:rsidRPr="00EB2E88" w:rsidRDefault="00FD699F"/>
    <w:sectPr w:rsidR="00FD699F" w:rsidRPr="00EB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88"/>
    <w:rsid w:val="00103240"/>
    <w:rsid w:val="00407BBA"/>
    <w:rsid w:val="00440663"/>
    <w:rsid w:val="00623C7D"/>
    <w:rsid w:val="009A24C2"/>
    <w:rsid w:val="00A10BAC"/>
    <w:rsid w:val="00EB2E88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2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324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2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32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2020-12-28T07:33:00Z</cp:lastPrinted>
  <dcterms:created xsi:type="dcterms:W3CDTF">2020-12-28T07:46:00Z</dcterms:created>
  <dcterms:modified xsi:type="dcterms:W3CDTF">2020-12-28T07:46:00Z</dcterms:modified>
</cp:coreProperties>
</file>